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350</w:t>
      </w:r>
    </w:p>
    <w:p>
      <w:r>
        <w:t>Bundesgericht (BGE), 1966-12-07, DE</w:t>
      </w:r>
    </w:p>
    <w:p>
      <w:r>
        <w:rPr>
          <w:b/>
        </w:rPr>
        <w:t xml:space="preserve">Quelle: </w:t>
      </w:r>
      <w:r>
        <w:t>https://mcp.opencaselaw.ch/entscheid/bge_92 I 350</w:t>
      </w:r>
    </w:p>
    <w:p>
      <w:r>
        <w:t>FR: ATF 92 I 350</w:t>
      </w:r>
    </w:p>
    <w:p>
      <w:r>
        <w:t>IT: DTF 92 I 350</w:t>
      </w:r>
    </w:p>
    <w:p>
      <w:pPr>
        <w:pStyle w:val="Heading2"/>
      </w:pPr>
      <w:r>
        <w:t>Regeste</w:t>
      </w:r>
    </w:p>
    <w:p>
      <w:r>
        <w:t>Regeste Gemeindeversammlung, Verfahren. Legitimation zur staatsrechtlichen Beschwerde wegen Verletzung der Rechte des Stimmbürgers in einer Gemeindeversammlung (Erw. 2); Prüfungsbefugnis des Bundesgerichts bei Stimmrechtsbeschwerden (Erw. 3). Unterlässt es der Vorsitzende einer Gemeindeversammlung nach Schluss der Diskussion, angekündete, jedoch nicht formulierte Anträge entgegenzunehmen oder gar einzelne Stimmberechtigte zum Stellen von Anträgen noch ausdrücklich aufzufordern, dann widerspricht dies weder dem zürch. Gemeindegesetz noch allgemein anerkannten Rechtsgrundsätzen (Erw. 4).</w:t>
      </w:r>
    </w:p>
    <w:p>
      <w:pPr>
        <w:pStyle w:val="Heading2"/>
      </w:pPr>
      <w:r>
        <w:t>Erwägungen</w:t>
      </w:r>
    </w:p>
    <w:p>
      <w:r>
        <w:rPr>
          <w:b/>
        </w:rPr>
        <w:t>E. 1</w:t>
      </w:r>
    </w:p>
    <w:p>
      <w:r>
        <w:t>Staatsrechtliche Beschwerden der vorliegenden Art sind ausschliesslich kassatorischer Natur. Soweit mit der Beschwerde mehr als die Aufhebung des regierungsrätlichen Entscheides verlangt wird, ist darauf nicht einzutreten ( BGE 90 I 173 E. 1).</w:t>
      </w:r>
    </w:p>
    <w:p>
      <w:r>
        <w:rPr>
          <w:b/>
        </w:rPr>
        <w:t>E. 2</w:t>
      </w:r>
    </w:p>
    <w:p>
      <w:r>
        <w:t>a) Der Beschwerdeführer macht vor allem eine Verletzung politischer Rechte der Stimmbürger geltend. Er sieht sie darin, dass der Gemeindepräsident den Votanten K. Meyer vor der Abstimmung nicht mehr aufforderte, seinen angekündeten Antrag formuliert einzureichen. Man kann sich fragen, ob der Beschwerdeführer zu dieser Rüge legitimiert sei. Während der Regierungsrat die Frage im angefochtenen Entscheid offen lässt, bestreitet er die Legitimation BGE 92 I 350 S. 354 des Beschwerdeführers in der Beschwerdeantwort. Meyer hat sich nicht als Wortführer einer Gruppe bezeichnet, welcher der Beschwerdeführer ebenfalls angehören würde. Ebensowenig hat der Beschwerdeführer selber an der Gemeindeversammlung behauptet, dass Meyer auch in seinem Auftrag gesprochen habe. Er bezeichnete sich zudem nicht als benachteiligten Antragsteller. Soweit die politischen Rechte Meyers verletzt wurden, erscheint also zunächst nur dieser und nicht der Beschwerdeführer als betroffen und legitimiert. Meyer selber hat gegen seine angebliche Benachteiligung nicht Einsprache erhoben. Die Legitimation des Beschwerdeführers ist trotzdem zu bejahen. Wäre nämlich seine Rüge begründet, wonach es der Gemeindepräsident rechtswidrig vereitelt habe, einen Gegenantrag zum Antrag des Gemeinderates in der Versammlung zur Abstimmung zu bringen, so wäre nicht nur Meyer in seinen Rechten verkürzt, sondern der Gemeindeversammlung ein ihrer Abstimmung unterliegender Antrag vorenthalten worden. Dadurch würde jeder Stimmberechtigte betroffen und wäre zur Beschwerde legitimiert ( BGE 89 I 39 mit Zitaten). b) Der Beschwerdeführer hat zwar erst unmittelbar nach der Sachabstimmung angekündet, er werde wegen Verletzung des Antragsrechts von Meyer Beschwerde führen. Hieraus abzuleiten, er habe dadurch sein Beschwerderecht verwirkt, wäre jedoch übertrieben formalistisch. Man darf einen Stimmbürger nicht überfordern. Wird in einer ländlichen Gemeindeversammlung auf Schluss der Diskussion erkannt und schreitet der Präsident hernach sogleich zur Abstimmung, dann muss es genügen, wenn der spätere Beschwerdeführer den vorausgehenden Verfahrensmangel noch innert vernünftiger Frist rügt. Eine solche sieht § 151 Ziff. 1 GG vor: Der Mangel muss noch anlässlich der Versammlung gerügt werden. Entgegen den Ausführungen in der regierungsrätlichen Vernehmlassung hat dies der Beschwerdeführer getan. c) Abzulehnen ist ferner der Einwand des Regierungsrates, die Aktivlegitimation sei nicht gegeben, weil es gegen Treu und Glauben verstosse, dass der Beschwerdeführer die Aufhebung der Abstimmung wegen einer Unterlassung verlange, die dem zu seiner eigenen Gruppe gehörenden K. Meyer zur Last falle und auch vom Beschwerdeführer selber hätte behoben werden können. Der Regierungsrat beruft sich zu Unrecht BGE 92 I 350 S. 355 auf BGE 91 I 320 . Er übersieht, dass der Beschwerdeführer nicht einen von ihm oder einem seiner Gesinnungsgenossen arglistig geschaffenen Verfahrensmangel rügt, sondern eine rechtswidrige Unterlassung des Gemeindepräsidenten. Der Umstand, dass Meyer und der Beschwerdeführer ohne weiteres in der Lage gewesen wären, den Antrag rechtzeitig zu stellen, wird bei der materiellen Behandlung der Beschwerde zu würdigen sein, bleibt jedoch ohne Einfluss auf die Legitimation.</w:t>
      </w:r>
    </w:p>
    <w:p>
      <w:r>
        <w:rPr>
          <w:b/>
        </w:rPr>
        <w:t>E. 3</w:t>
      </w:r>
    </w:p>
    <w:p>
      <w:r>
        <w:t>Der Beschwerdeführer erblickt in der Unterlassung des Gemeindepräsidenten, den Votanten Meyer zur Formulierung seines angekündeten Antrags aufzufordern, eine Verletzung von Verfahrensrecht. Er erhebt somit eine Stimmrechtsbeschwerde. Das Bundesgericht prüft hier die Auslegung von Bundesrecht und kantonalem Verfassungsrecht frei, diejenige anderer kantonaler Vorschriften nur auf Willkür, sofern sie nicht Umfang und Inhalt des bundesrechtlich gewährleisteten Stimmrechts betreffen ( BGE 91 I 271 /72 mit Verweisungen). Wie das Bundesgericht in BGE 91 I 319 erkannt hat, wirken sich auch Vorschriften verfahrensrechtlicher Natur, welche unerlässliche Massnahmen zur Sicherung freier Wahlen begründen, unmittelbar auf den Umfang des Wahlrechtes aus. Eine solche Bestimmung wäre verletzt, wenn sich die Behauptung des Beschwerdeführers als richtig erweisen sollte, wonach der Gemeindepräsident verpflichtet sei, nach Schluss der Diskussion allfällige angekündete Anträge noch formulieren zu lassen. Die Stimmberechtigten wären dann nämlich nicht auf die Wahl zwischen den bereits gestellten Anträgen beschränkt, sondern könnten sich darüber hinaus für andere (Rückweisungs-, Abänderungs- und Ergänzungs-) Anträge entscheiden. Die Auslegung des Regierungsrates ist daher im vorliegenden Falle frei zu überprüfen.</w:t>
      </w:r>
    </w:p>
    <w:p>
      <w:r>
        <w:rPr>
          <w:b/>
        </w:rPr>
        <w:t>E. 4</w:t>
      </w:r>
    </w:p>
    <w:p>
      <w:r>
        <w:t>Der Beschwerdeführer anerkennt mit Recht, dass der Ordnungsantrag auf Schluss der Diskussion vorweg zur Abstimmung gebracht werden musste und nach seiner Annahme keine weitere Diskussion mehr zulässig war. Er stellt sich aber auf den Standpunkt, auch nach diesem Beschluss hätte jeder Stimmbürger noch das Recht gehabt, "das Diskussionsergebnis in einem Antrag zu formulieren und der Versammlung zur Abstimmung zu unterbreiten". Indessen macht der Beschwerdeführer keine Bestimmung namhaft, aus der sich die von ihm behauptete Pflicht des BGE 92 I 350 S. 356 Gemeindepräsidenten ergeben würde, nach Schluss der Diskussion bisher nicht eingereichte Anträge entgegenzunehmen oder gar einzelne Stimmberechtigte zum Stellen von Anträgen noch ausdrücklich aufzufordern. Seine Berufung auf den Kommentar WETTSTEIN N. 531 zum alten GG geht in mehrfacher Hinsicht fehl. Zwar lässt der erwähnte Autor die Möglichkeit zu, nach Schluss der Diskussion Standpunkte, die im Laufe der Beratung geltend gemacht wurden, in bestimmten Anträgen zu formulieren. Eine Verpflichtung des Gemeindepräsidenten, in der Gemeindeversammlung einen Votanten hiezu aufzufordern, der sich selber nicht meldet, nimmt dagegen auch Wettstein nicht an. Abgesehen davon bezieht sich die vom Beschwerdeführer angeführte Kommentarstelle, wie der Regierungsrat im angefochtenen Entscheid zutreffend darlegt, auf § 86 lit. c aGG, wonach der Präsident einer Gemeindebehörde am Schluss der Diskussion die Behördemitglieder zur Antragstellung aufzufordern hatte. Die für Behördesitzungen geltenden Verfahrensregeln sind jedoch nicht ohne weiteres auf die Gemeindeversammlung zu übertragen. Zudem enthält der § 86 lit. c aGG entsprechende § 66 des geltenden GG jene Vorschrift nicht mehr. Entgegen der Auffassung des Beschwerdeführers widerspricht die Auslegung des Regierungsrates auch nicht allgemein anerkannten Verfahrens- und Abstimmungsgrundsätzen. Es erscheint im Gegenteil als höchst fraglich, ob der Präsident, nachdem die Versammlung auf Schluss der Diskussion erkannt hat, noch irgendwelche Anträge entgegennehmen und Antragstellern hiezu das Wort erteilen darf. Da es im Ermessen der Versammlung liegt, ob und wann die Diskussion geschlossen werden soll, wird nach jenem Zeitpunkt die Zulässigkeit weiterer Anträge (ausgenommen solche zur Geschäftsordnung) im Zweifel zu verneinen sein. Die Versammlung hat überdies Anspruch darauf, dass ein Antrag nicht nur gestellt, sondern begründet und diskutiert wird, damit Klarheit über Sinn und Tragweite besteht (WETTSTEIN, a.a.O. N. 532) und sich auch die Gegner darüber aussprechen können. Diese haben nämlich keinen Anlass, sich mit einem zwar angekündeten, aber noch nicht ausdrücklich gestellten Antrag auseinanderzusetzen. Es entbehrt deshalb der Folgerichtigkeit, wenn der Beschwerdeführer verlangt, dass zuerst die ganze Diskussion durchgeführt und erst hernach Antrag gestellt werden solle. BGE 92 I 350 S. 357 Wird somit von einem Votanten eine Meinung vertreten, der sich daraus ergebende formulierte Antrag aber nur eventuell in Aussicht gestellt oder sogar nur unformuliert angekündet, so ist über diesen Antrag nur abzustimmen, wenn er so rechtzeitig gestellt wurde, dass sich die Versammlung noch darüber aussprechen konnte. Meyer hätte sich demnach spätestens nach Einreichung des Antrages auf Schluss der Diskussion diesem widersetzen müssen mit dem Hinweis darauf, dass er nunmehr seinen eigenen Antrag einreiche und zur Diskussion stelle. Unterliess er dies, so war es nicht Sache des Präsidenten, ihn noch ausdrücklich zur Antragstellung einzuladen. Überdies hätte jeder andere Stimmbürger, namentlich auch der Beschwerdeführer, den angekündeten Antrag formulieren können, nachdem sich gezeigt hatte, dass Meyer dies nicht tat. Wäre dabei die Zulassung des Antrages und die Abstimmung darüber verweigert worden, dann liesse sich wohl erörtern, ob das Stimmrecht beeinträchtigt worden sei. Nachdem jedoch ein derartiger Antrag weder vor der Abstimmung über den Ordnungsantrag noch vor derjenigen in der Sache selber gestellt worden ist, kann von einer Verletzung der freien Willensbildung in der Gemeindeversammlung keine Rede sein. Der vom Beschwerdeführer gerügte angebliche Verstoss hätte im übrigen am Abstimmungsergebnis nichts ändern können. Meyer hätte sich in seinem Antrag an den Rahmen seiner vorherigen Ausführungen halten müssen, da ja jede weitere Diskussion ausgeschlossen war. Laut dem unangefochtenen Versammlungsprotokoll trat Meyer der Aufhebung der Zivilgemeinden schlechthin entgegen. Er kündete in diesem Sinne einen Gegenantrag an. Dieser konnte daher nur auf Ablehnung des gemeinderätlichen Antrages lauten. Formulierungen, wie sie der Beschwerdeführer im kantonalen und im vorliegenden Verfahren angibt, wären nicht mehr zulässig gewesen, weil sie wesentliche neue Elemente enthalten hätten. Der Antrag auf Abweisung desjenigen des Gemeinderates brauchte aber gar nicht ausdrücklich gestellt zu werden, da in der Abstimmung ohnehin die Stimmen für und gegen diesen Antrag gezählt wurden. Möglicherweise hat Meyer denn auch gerade deswegen darauf verzichtet, einen Gegenantrag zu formulieren.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